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20A4" w14:textId="77777777" w:rsidR="00B46C09" w:rsidRPr="0016610D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16610D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 w:rsidRPr="0016610D"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16610D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16610D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16610D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16610D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16610D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Pr="0016610D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16610D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16610D" w:rsidRDefault="00B46C09" w:rsidP="00B46C09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10D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10D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29AC87FE" w:rsidR="00B46C09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5AE9F0C4" w14:textId="5BC672B5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672B6BFC" w14:textId="07DA8169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64A34AF8" w14:textId="67800447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3530FF1F" w14:textId="33B80E3F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37075364" w14:textId="2F16E843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1CD93061" w14:textId="5321AB24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4DAF5CDE" w14:textId="5B8A93DA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6E56FEEA" w14:textId="1A7E465B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795DC189" w14:textId="1CD6929E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6EC375F6" w14:textId="5B9151E8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71000EB7" w14:textId="2A416FBA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B68061E" w14:textId="50BF74AE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5BEC1180" w14:textId="0A68309F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5A1E046C" w14:textId="4C9C9A12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ECF8187" w14:textId="69A8DB7A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0DF8C372" w14:textId="1B6EA403" w:rsidR="00EF1FDA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7E96D862" w14:textId="77777777" w:rsidR="00EF1FDA" w:rsidRPr="0016610D" w:rsidRDefault="00EF1FDA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10D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10D" w:rsidRPr="0016610D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6BA164FF" w:rsidR="0016640E" w:rsidRPr="0016610D" w:rsidRDefault="00B46C09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Theme="majorHAnsi" w:hAnsiTheme="majorHAnsi"/>
                <w:lang w:val="sr-Latn-CS"/>
              </w:rPr>
              <w:lastRenderedPageBreak/>
              <w:br w:type="page"/>
            </w: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10D" w:rsidRPr="0016610D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10D" w:rsidRPr="0016610D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33B03A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10D" w:rsidRPr="0016610D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16610D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16610D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lastRenderedPageBreak/>
        <w:t>Ponuđeni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procentni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iznos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za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obračun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koncesione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10D" w:rsidRPr="0016610D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Predviđeni obim godišnje</w:t>
            </w:r>
            <w:r w:rsidR="00197D82"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10D" w:rsidRPr="0016610D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1E8C413F" w:rsidR="0016640E" w:rsidRPr="0016610D" w:rsidRDefault="002432FA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  <w:r w:rsidR="009744CD" w:rsidRPr="0016610D">
              <w:rPr>
                <w:rFonts w:ascii="Arial" w:hAnsi="Arial" w:cs="Arial"/>
                <w:sz w:val="22"/>
                <w:szCs w:val="22"/>
                <w:lang w:val="sr-Latn-CS"/>
              </w:rPr>
              <w:t>0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16610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____________ 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10D" w:rsidRPr="0016610D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10D" w:rsidRPr="0016610D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BF82ADF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91B634" w14:textId="4307D935" w:rsidR="00EF1FDA" w:rsidRDefault="00EF1FDA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F24AAE3" w14:textId="5CBC77C4" w:rsidR="00EF1FDA" w:rsidRDefault="00EF1FDA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454B87F9" w14:textId="77777777" w:rsidR="00EF1FDA" w:rsidRPr="0016610D" w:rsidRDefault="00EF1FDA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16610D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16610D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FF27ACB" w14:textId="77777777" w:rsidR="0016640E" w:rsidRPr="0016610D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10D" w:rsidRPr="0016610D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16610D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7DDA42A9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10D" w:rsidRPr="0016610D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43B3C4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KONCESIONAR (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Naziv</w:t>
            </w:r>
            <w:proofErr w:type="spellEnd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 xml:space="preserve"> I </w:t>
            </w:r>
            <w:proofErr w:type="spellStart"/>
            <w:proofErr w:type="gramStart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leziste</w:t>
            </w:r>
            <w:proofErr w:type="spellEnd"/>
            <w:r w:rsidRPr="0016610D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)</w:t>
            </w:r>
            <w:proofErr w:type="gramEnd"/>
          </w:p>
        </w:tc>
      </w:tr>
      <w:tr w:rsidR="0016610D" w:rsidRPr="0016610D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16610D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16610D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10D" w:rsidRPr="0016610D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16610D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10D" w:rsidRPr="0016610D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16610D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UKUP</w:t>
            </w:r>
            <w:r w:rsidR="00D42287" w:rsidRPr="0016610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prom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>j</w:t>
            </w:r>
            <w:r w:rsidRPr="0016610D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16610D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16610D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16610D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1346F2FF" w14:textId="36A80ACF" w:rsidR="0016640E" w:rsidRDefault="0016640E" w:rsidP="0016640E">
      <w:pPr>
        <w:ind w:right="243"/>
        <w:rPr>
          <w:rFonts w:ascii="Arial" w:hAnsi="Arial" w:cs="Arial"/>
          <w:sz w:val="22"/>
          <w:szCs w:val="22"/>
          <w:lang w:val="sr-Latn-CS"/>
        </w:rPr>
      </w:pPr>
    </w:p>
    <w:p w14:paraId="67B37E6A" w14:textId="77777777" w:rsidR="00EF1FDA" w:rsidRPr="0016610D" w:rsidRDefault="00EF1FDA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E9691C4" w14:textId="77777777" w:rsidR="00EF1FDA" w:rsidRDefault="00EF1FDA" w:rsidP="003C34B2">
      <w:pPr>
        <w:ind w:left="1350" w:right="243" w:hanging="1350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6C059E4B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1661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16610D" w:rsidRDefault="003C34B2" w:rsidP="003C34B2">
      <w:pPr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05124D38" w:rsidR="0016640E" w:rsidRPr="0016610D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16610D">
        <w:rPr>
          <w:rFonts w:ascii="Arial" w:hAnsi="Arial" w:cs="Arial"/>
          <w:bCs/>
          <w:noProof/>
          <w:sz w:val="22"/>
        </w:rPr>
        <w:t>nce u skladu sa</w:t>
      </w:r>
      <w:r w:rsidRPr="001661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6162E30B"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29AD0AD8" w14:textId="6E85BEE2" w:rsidR="00EF1FDA" w:rsidRDefault="00EF1FDA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BF8C9B5" w14:textId="325EE3EB" w:rsidR="00EF1FDA" w:rsidRDefault="00EF1FDA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7D5A8CED" w14:textId="77777777" w:rsidR="00EF1FDA" w:rsidRPr="0016610D" w:rsidRDefault="00EF1FDA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16610D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bruto prihod u posl</w:t>
      </w:r>
      <w:r w:rsidR="002F2870" w:rsidRPr="0016610D">
        <w:rPr>
          <w:rFonts w:ascii="Arial" w:hAnsi="Arial" w:cs="Arial"/>
          <w:color w:val="auto"/>
          <w:sz w:val="22"/>
          <w:szCs w:val="22"/>
          <w:lang w:val="nn-NO"/>
        </w:rPr>
        <w:t>j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ednje tri godine</w:t>
      </w:r>
    </w:p>
    <w:p w14:paraId="3D2B3098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10D" w:rsidRPr="0016610D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16610D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Pr="0016610D" w:rsidRDefault="002F2870" w:rsidP="002F2870">
      <w:pPr>
        <w:ind w:left="1350" w:hanging="1350"/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6610D">
        <w:rPr>
          <w:rFonts w:ascii="Arial" w:hAnsi="Arial" w:cs="Arial"/>
          <w:b/>
          <w:sz w:val="22"/>
          <w:szCs w:val="22"/>
        </w:rPr>
        <w:t xml:space="preserve">: </w:t>
      </w:r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ponuđače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kraćem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od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  <w:r w:rsidRPr="0016610D">
        <w:t xml:space="preserve"> </w:t>
      </w:r>
    </w:p>
    <w:p w14:paraId="44200A1F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ponuđač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člana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</w:p>
    <w:p w14:paraId="34303DE5" w14:textId="77777777" w:rsidR="0016640E" w:rsidRPr="0016610D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7FA1B5A2" w:rsidR="002F2870" w:rsidRPr="00EF1FDA" w:rsidRDefault="002F2870" w:rsidP="00EF1FDA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EF1FDA">
        <w:rPr>
          <w:rFonts w:ascii="Arial" w:hAnsi="Arial" w:cs="Arial"/>
          <w:color w:val="auto"/>
          <w:sz w:val="22"/>
          <w:szCs w:val="22"/>
          <w:lang w:val="nn-NO"/>
        </w:rPr>
        <w:lastRenderedPageBreak/>
        <w:t>Fina</w:t>
      </w:r>
      <w:r w:rsidR="001D1829" w:rsidRPr="00EF1FDA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EF1FDA">
        <w:rPr>
          <w:rFonts w:ascii="Arial" w:hAnsi="Arial" w:cs="Arial"/>
          <w:color w:val="auto"/>
          <w:sz w:val="22"/>
          <w:szCs w:val="22"/>
          <w:lang w:val="nn-NO"/>
        </w:rPr>
        <w:t xml:space="preserve">sijski aspekt </w:t>
      </w:r>
      <w:r w:rsidR="00EF1FDA" w:rsidRPr="00EF1FDA">
        <w:rPr>
          <w:rFonts w:ascii="Arial" w:hAnsi="Arial" w:cs="Arial"/>
          <w:color w:val="auto"/>
          <w:sz w:val="22"/>
          <w:szCs w:val="22"/>
          <w:lang w:val="nn-NO"/>
        </w:rPr>
        <w:t>–</w:t>
      </w:r>
      <w:r w:rsidRPr="00EF1FDA">
        <w:rPr>
          <w:rFonts w:ascii="Arial" w:hAnsi="Arial" w:cs="Arial"/>
          <w:color w:val="auto"/>
          <w:sz w:val="22"/>
          <w:szCs w:val="22"/>
          <w:lang w:val="nn-NO"/>
        </w:rPr>
        <w:t xml:space="preserve"> prosječni profit u posljednje tri godine</w:t>
      </w:r>
    </w:p>
    <w:p w14:paraId="120D3C8F" w14:textId="77777777" w:rsidR="002F2870" w:rsidRPr="0016610D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202__</w:t>
            </w:r>
          </w:p>
        </w:tc>
      </w:tr>
      <w:tr w:rsidR="0016610D" w:rsidRPr="0016610D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16610D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16610D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16610D" w:rsidRDefault="002F2870" w:rsidP="002F2870">
      <w:pPr>
        <w:ind w:left="1350" w:hanging="1350"/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6610D">
        <w:rPr>
          <w:rFonts w:ascii="Arial" w:hAnsi="Arial" w:cs="Arial"/>
          <w:b/>
          <w:sz w:val="22"/>
          <w:szCs w:val="22"/>
        </w:rPr>
        <w:t xml:space="preserve">: </w:t>
      </w:r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ponuđače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kraćem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od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  <w:r w:rsidRPr="0016610D">
        <w:t xml:space="preserve"> </w:t>
      </w:r>
    </w:p>
    <w:p w14:paraId="69C6E21D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ponuđač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člana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</w:p>
    <w:p w14:paraId="39C33C47" w14:textId="77777777" w:rsidR="00481B76" w:rsidRPr="001661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16610D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DBCCF7B" w14:textId="77777777" w:rsidR="0016640E" w:rsidRPr="0016610D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10D" w:rsidRPr="0016610D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BE37D3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148841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FF8A7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770E97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E39A6D" w14:textId="77777777" w:rsidR="00EF1FDA" w:rsidRPr="0016610D" w:rsidRDefault="00EF1FDA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7A3323E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10D" w:rsidRPr="0016610D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16610D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16610D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10D" w:rsidRPr="0016610D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 w:rsidRPr="0016610D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 w:rsidRPr="0016610D">
        <w:rPr>
          <w:rFonts w:ascii="Arial" w:hAnsi="Arial" w:cs="Arial"/>
          <w:sz w:val="22"/>
          <w:szCs w:val="22"/>
          <w:lang w:val="sr-Latn-CS"/>
        </w:rPr>
        <w:t>i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10D" w:rsidRPr="0016610D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10D" w:rsidRPr="0016610D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16610D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Pr="0016610D" w:rsidRDefault="00905C86"/>
    <w:sectPr w:rsidR="00905C86" w:rsidRPr="0016610D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D6953" w14:textId="77777777" w:rsidR="0078430A" w:rsidRDefault="0078430A" w:rsidP="005F0F1F">
      <w:r>
        <w:separator/>
      </w:r>
    </w:p>
  </w:endnote>
  <w:endnote w:type="continuationSeparator" w:id="0">
    <w:p w14:paraId="0EF507B6" w14:textId="77777777" w:rsidR="0078430A" w:rsidRDefault="0078430A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4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9076"/>
      <w:gridCol w:w="9076"/>
    </w:tblGrid>
    <w:tr w:rsidR="00551BFE" w:rsidRPr="00D42287" w14:paraId="2D85BD17" w14:textId="77777777" w:rsidTr="00551BFE">
      <w:tc>
        <w:tcPr>
          <w:tcW w:w="236" w:type="dxa"/>
        </w:tcPr>
        <w:p w14:paraId="2ED6AD00" w14:textId="77777777" w:rsidR="00551BFE" w:rsidRPr="00973894" w:rsidRDefault="00551BFE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BF33BC" w:rsidRPr="00BF33BC">
            <w:rPr>
              <w:b/>
              <w:noProof/>
              <w:color w:val="4F81BD" w:themeColor="accent1"/>
              <w:sz w:val="20"/>
            </w:rPr>
            <w:t>2</w:t>
          </w:r>
          <w:r w:rsidRPr="00973894">
            <w:rPr>
              <w:sz w:val="20"/>
            </w:rPr>
            <w:fldChar w:fldCharType="end"/>
          </w:r>
        </w:p>
      </w:tc>
      <w:tc>
        <w:tcPr>
          <w:tcW w:w="9076" w:type="dxa"/>
        </w:tcPr>
        <w:p w14:paraId="4BD7A032" w14:textId="34F66585" w:rsidR="00CE1C96" w:rsidRDefault="00CE1C96" w:rsidP="00CE1C96">
          <w:pPr>
            <w:pStyle w:val="Footer"/>
            <w:rPr>
              <w:rFonts w:cs="Calibri"/>
              <w:sz w:val="16"/>
              <w:szCs w:val="16"/>
              <w:lang w:val="pl-PL"/>
            </w:rPr>
          </w:pPr>
          <w:r>
            <w:rPr>
              <w:rFonts w:cs="Calibri"/>
              <w:sz w:val="16"/>
              <w:szCs w:val="16"/>
              <w:lang w:val="pl-PL"/>
            </w:rPr>
            <w:t>Koncesioni akt o nemetalič</w:t>
          </w:r>
          <w:proofErr w:type="spellStart"/>
          <w:r>
            <w:rPr>
              <w:rFonts w:cs="Calibri"/>
              <w:sz w:val="16"/>
              <w:szCs w:val="16"/>
            </w:rPr>
            <w:t>noj</w:t>
          </w:r>
          <w:proofErr w:type="spellEnd"/>
          <w:r>
            <w:rPr>
              <w:rFonts w:cs="Calibri"/>
              <w:sz w:val="16"/>
              <w:szCs w:val="16"/>
              <w:lang w:val="pl-PL"/>
            </w:rPr>
            <w:t xml:space="preserve"> mineralnoj sirovini tehničko-građevinskog kamena l</w:t>
          </w:r>
          <w:r w:rsidR="00BF33BC">
            <w:rPr>
              <w:rFonts w:cs="Calibri"/>
              <w:sz w:val="16"/>
              <w:szCs w:val="16"/>
              <w:lang w:val="pl-PL"/>
            </w:rPr>
            <w:t>okaliteta</w:t>
          </w:r>
          <w:r>
            <w:rPr>
              <w:rFonts w:cs="Calibri"/>
              <w:sz w:val="16"/>
              <w:szCs w:val="16"/>
              <w:lang w:val="pl-PL"/>
            </w:rPr>
            <w:t xml:space="preserve"> ”Milošev krš”, </w:t>
          </w:r>
          <w:r w:rsidR="00EF1FDA">
            <w:rPr>
              <w:rFonts w:cs="Calibri"/>
              <w:sz w:val="16"/>
              <w:szCs w:val="16"/>
              <w:lang w:val="pl-PL"/>
            </w:rPr>
            <w:t>Prijestonica</w:t>
          </w:r>
          <w:r>
            <w:rPr>
              <w:rFonts w:cs="Calibri"/>
              <w:sz w:val="16"/>
              <w:szCs w:val="16"/>
              <w:lang w:val="pl-PL"/>
            </w:rPr>
            <w:t xml:space="preserve"> Cetinje</w:t>
          </w:r>
        </w:p>
        <w:p w14:paraId="75681EF4" w14:textId="52C0DC7E" w:rsidR="00551BFE" w:rsidRPr="002F04D7" w:rsidRDefault="00551BFE" w:rsidP="00457ADE">
          <w:pPr>
            <w:pStyle w:val="Footer"/>
            <w:rPr>
              <w:rFonts w:cs="Calibri"/>
              <w:sz w:val="16"/>
              <w:szCs w:val="16"/>
              <w:lang w:val="pl-PL"/>
            </w:rPr>
          </w:pPr>
        </w:p>
      </w:tc>
      <w:tc>
        <w:tcPr>
          <w:tcW w:w="9076" w:type="dxa"/>
        </w:tcPr>
        <w:p w14:paraId="7CB7AD71" w14:textId="134A83DC" w:rsidR="00551BFE" w:rsidRPr="00457ADE" w:rsidRDefault="00551BFE" w:rsidP="002432FA">
          <w:pPr>
            <w:pStyle w:val="Footer"/>
            <w:rPr>
              <w:rFonts w:ascii="Calibri" w:hAnsi="Calibri" w:cs="Calibri"/>
              <w:sz w:val="18"/>
              <w:szCs w:val="18"/>
            </w:rPr>
          </w:pP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5561D" w14:textId="77777777" w:rsidR="0078430A" w:rsidRDefault="0078430A" w:rsidP="005F0F1F">
      <w:r>
        <w:separator/>
      </w:r>
    </w:p>
  </w:footnote>
  <w:footnote w:type="continuationSeparator" w:id="0">
    <w:p w14:paraId="3C9BFA38" w14:textId="77777777" w:rsidR="0078430A" w:rsidRDefault="0078430A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6610D"/>
    <w:rsid w:val="0016640E"/>
    <w:rsid w:val="00197D82"/>
    <w:rsid w:val="001D1829"/>
    <w:rsid w:val="001E25B8"/>
    <w:rsid w:val="002022CC"/>
    <w:rsid w:val="00221102"/>
    <w:rsid w:val="0024242F"/>
    <w:rsid w:val="002432FA"/>
    <w:rsid w:val="002459AE"/>
    <w:rsid w:val="00265846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3639B"/>
    <w:rsid w:val="0044460A"/>
    <w:rsid w:val="00455A02"/>
    <w:rsid w:val="00457ADE"/>
    <w:rsid w:val="00463DB9"/>
    <w:rsid w:val="00481B76"/>
    <w:rsid w:val="00491279"/>
    <w:rsid w:val="00497914"/>
    <w:rsid w:val="004A1CDB"/>
    <w:rsid w:val="004A4A42"/>
    <w:rsid w:val="004B208F"/>
    <w:rsid w:val="004C5820"/>
    <w:rsid w:val="00510B9D"/>
    <w:rsid w:val="00550C36"/>
    <w:rsid w:val="00551BFE"/>
    <w:rsid w:val="005631E6"/>
    <w:rsid w:val="00585478"/>
    <w:rsid w:val="005C2A49"/>
    <w:rsid w:val="005D7305"/>
    <w:rsid w:val="005F0F1F"/>
    <w:rsid w:val="00604831"/>
    <w:rsid w:val="006171BF"/>
    <w:rsid w:val="00655C62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8430A"/>
    <w:rsid w:val="007A4A71"/>
    <w:rsid w:val="007B1840"/>
    <w:rsid w:val="007C4EBB"/>
    <w:rsid w:val="007D625C"/>
    <w:rsid w:val="00800AB2"/>
    <w:rsid w:val="008212BF"/>
    <w:rsid w:val="00845B04"/>
    <w:rsid w:val="00854A2D"/>
    <w:rsid w:val="008958BD"/>
    <w:rsid w:val="0089739F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BF33BC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1C96"/>
    <w:rsid w:val="00CE28FC"/>
    <w:rsid w:val="00D42287"/>
    <w:rsid w:val="00D77CF7"/>
    <w:rsid w:val="00D90761"/>
    <w:rsid w:val="00E02BE9"/>
    <w:rsid w:val="00E17035"/>
    <w:rsid w:val="00E17BB3"/>
    <w:rsid w:val="00E245FF"/>
    <w:rsid w:val="00E50529"/>
    <w:rsid w:val="00E72E6E"/>
    <w:rsid w:val="00EC0436"/>
    <w:rsid w:val="00ED271F"/>
    <w:rsid w:val="00EF1FDA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4BDA6A4"/>
  <w15:docId w15:val="{B990D6BC-071C-42FC-A92C-239799B9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48E1A-48D7-4EBE-A03E-299E6B938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7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35</cp:revision>
  <cp:lastPrinted>2016-01-22T12:33:00Z</cp:lastPrinted>
  <dcterms:created xsi:type="dcterms:W3CDTF">2018-12-19T06:38:00Z</dcterms:created>
  <dcterms:modified xsi:type="dcterms:W3CDTF">2021-12-09T07:25:00Z</dcterms:modified>
</cp:coreProperties>
</file>